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2B8856BA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</w:t>
      </w:r>
      <w:r w:rsidR="00A257C8">
        <w:rPr>
          <w:noProof/>
          <w:lang w:eastAsia="es-MX"/>
        </w:rPr>
        <w:t xml:space="preserve"> direccion del Sistema</w:t>
      </w:r>
      <w:r w:rsidR="00A257C8" w:rsidRPr="00A257C8">
        <w:t xml:space="preserve"> Municipal de Agua Potable y Alcantarillado de Santiago Maravatío, </w:t>
      </w:r>
      <w:r>
        <w:rPr>
          <w:noProof/>
          <w:lang w:eastAsia="es-MX"/>
        </w:rPr>
        <w:t>se apega a los los Lineamientos de Racionalidad y Aust</w:t>
      </w:r>
      <w:r w:rsidR="00A257C8">
        <w:rPr>
          <w:noProof/>
          <w:lang w:eastAsia="es-MX"/>
        </w:rPr>
        <w:t xml:space="preserve">eridad del Municipio de Santiago Maravatío </w:t>
      </w:r>
      <w:r>
        <w:rPr>
          <w:noProof/>
          <w:lang w:eastAsia="es-MX"/>
        </w:rPr>
        <w:t xml:space="preserve"> Guanajuato.</w:t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5FFBB1A" w14:textId="6657B918" w:rsidR="00B611AA" w:rsidRDefault="00B611AA" w:rsidP="0012031E">
      <w:pPr>
        <w:spacing w:after="0" w:line="240" w:lineRule="auto"/>
        <w:jc w:val="both"/>
      </w:pP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8887C3A" w:rsidR="00E0751D" w:rsidRDefault="00E0751D" w:rsidP="00E0751D">
      <w:pPr>
        <w:spacing w:after="0" w:line="240" w:lineRule="auto"/>
      </w:pPr>
    </w:p>
    <w:p w14:paraId="4BD42D6F" w14:textId="6453ACC6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06476B48" w:rsidR="00E0751D" w:rsidRDefault="00E0751D" w:rsidP="00E0751D">
      <w:pPr>
        <w:spacing w:after="0" w:line="240" w:lineRule="auto"/>
      </w:pPr>
      <w:r>
        <w:t xml:space="preserve">Se informará solo al 31 </w:t>
      </w:r>
      <w:r w:rsidR="00CE6653">
        <w:t>de diciembre 202</w:t>
      </w:r>
      <w:r w:rsidR="009462CF">
        <w:t>3</w:t>
      </w:r>
      <w:r w:rsidR="00CE6653">
        <w:t>.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515"/>
        <w:gridCol w:w="1628"/>
        <w:gridCol w:w="1628"/>
        <w:gridCol w:w="3512"/>
      </w:tblGrid>
      <w:tr w:rsidR="00037571" w:rsidRPr="00037571" w14:paraId="4D9C6B04" w14:textId="77777777" w:rsidTr="00037571">
        <w:trPr>
          <w:trHeight w:val="288"/>
        </w:trPr>
        <w:tc>
          <w:tcPr>
            <w:tcW w:w="98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43119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lang w:eastAsia="es-MX"/>
              </w:rPr>
              <w:t>Sistema de Desarrollo Integral de la Familia del Municipio de Santiago Maravatío, Guanajuato</w:t>
            </w:r>
          </w:p>
        </w:tc>
      </w:tr>
      <w:tr w:rsidR="00037571" w:rsidRPr="00037571" w14:paraId="2EA7EFBD" w14:textId="77777777" w:rsidTr="00037571">
        <w:trPr>
          <w:trHeight w:val="288"/>
        </w:trPr>
        <w:tc>
          <w:tcPr>
            <w:tcW w:w="98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C2579E" w14:textId="3B4BC63B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Informe de cuentas por pagar y que integran el pasivo circulante al 31 de diciembre de 202</w:t>
            </w:r>
            <w:r w:rsidR="009462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</w:t>
            </w:r>
          </w:p>
        </w:tc>
      </w:tr>
      <w:tr w:rsidR="00037571" w:rsidRPr="00037571" w14:paraId="003EAD77" w14:textId="77777777" w:rsidTr="00037571">
        <w:trPr>
          <w:trHeight w:val="300"/>
        </w:trPr>
        <w:tc>
          <w:tcPr>
            <w:tcW w:w="98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A4E6FF" w14:textId="77777777" w:rsidR="00037571" w:rsidRPr="00037571" w:rsidRDefault="00037571" w:rsidP="00037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037571" w:rsidRPr="00037571" w14:paraId="09EE2AE4" w14:textId="77777777" w:rsidTr="00037571">
        <w:trPr>
          <w:trHeight w:val="288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6633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A6AC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C4D1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33F79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CB9E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</w:tr>
      <w:tr w:rsidR="00037571" w:rsidRPr="00037571" w14:paraId="5A447BD3" w14:textId="77777777" w:rsidTr="00037571">
        <w:trPr>
          <w:trHeight w:val="288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F0330A" w14:textId="77777777" w:rsidR="00037571" w:rsidRPr="00037571" w:rsidRDefault="00037571" w:rsidP="00037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2C1AD" w14:textId="77777777" w:rsidR="00037571" w:rsidRPr="00037571" w:rsidRDefault="00037571" w:rsidP="000375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E8C8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1FD1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(b)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62A1" w14:textId="77777777" w:rsidR="00037571" w:rsidRPr="00037571" w:rsidRDefault="00037571" w:rsidP="00037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(c) = (a-b)</w:t>
            </w:r>
          </w:p>
        </w:tc>
      </w:tr>
      <w:tr w:rsidR="009462CF" w:rsidRPr="00037571" w14:paraId="7D2C51F0" w14:textId="77777777" w:rsidTr="00037571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367B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494" w14:textId="77777777" w:rsidR="009462CF" w:rsidRPr="00037571" w:rsidRDefault="009462CF" w:rsidP="00946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Gasto No Etiquetado                                                          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4EF0" w14:textId="1E924F50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99E" w14:textId="6941865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05C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0609E" w:rsidRPr="00037571" w14:paraId="1684E733" w14:textId="77777777" w:rsidTr="00EF3421">
        <w:trPr>
          <w:trHeight w:val="2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298" w14:textId="77777777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252E" w14:textId="77777777" w:rsidR="00C0609E" w:rsidRPr="00037571" w:rsidRDefault="00C0609E" w:rsidP="00C0609E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Servicios Personales                                                               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25E2" w14:textId="22E4055E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4,770,741.16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3693" w14:textId="6A4E45AB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4,770,741.16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FAF" w14:textId="77777777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0609E" w:rsidRPr="00037571" w14:paraId="5C3C3B32" w14:textId="77777777" w:rsidTr="003864DD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5537" w14:textId="77777777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CF9C" w14:textId="77777777" w:rsidR="00C0609E" w:rsidRPr="00037571" w:rsidRDefault="00C0609E" w:rsidP="00C0609E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6918" w14:textId="3B588C61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704,260.04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73E5" w14:textId="6E9CCAB2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704,260.04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82E" w14:textId="77777777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0609E" w:rsidRPr="00037571" w14:paraId="1C4E7598" w14:textId="77777777" w:rsidTr="00DD7918">
        <w:trPr>
          <w:trHeight w:val="2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C8E1" w14:textId="77777777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FCD" w14:textId="77777777" w:rsidR="00C0609E" w:rsidRPr="00037571" w:rsidRDefault="00C0609E" w:rsidP="00C0609E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E0EE" w14:textId="577720A2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517,031.91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BBB1" w14:textId="788C437B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517,031.91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5BD" w14:textId="77777777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0609E" w:rsidRPr="00037571" w14:paraId="78B4CA6C" w14:textId="77777777" w:rsidTr="00906AD5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0B35" w14:textId="77777777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B291" w14:textId="77777777" w:rsidR="00C0609E" w:rsidRPr="00037571" w:rsidRDefault="00C0609E" w:rsidP="00C0609E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3500" w14:textId="10793EB1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407,518.22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100E" w14:textId="7D3179F9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407,518.22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E67" w14:textId="77777777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C0609E" w:rsidRPr="00037571" w14:paraId="57A3CAC0" w14:textId="77777777" w:rsidTr="00531E31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C9A" w14:textId="77777777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417" w14:textId="77777777" w:rsidR="00C0609E" w:rsidRPr="00037571" w:rsidRDefault="00C0609E" w:rsidP="00C0609E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0F86" w14:textId="4FBC22E8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76,708.00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40FF" w14:textId="69831BDD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76,708.00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751D" w14:textId="77777777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462CF" w:rsidRPr="00037571" w14:paraId="6EB7BCCF" w14:textId="77777777" w:rsidTr="00037571">
        <w:trPr>
          <w:trHeight w:val="2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1333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123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7BBD" w14:textId="213A29A1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DB33" w14:textId="1CC1C868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FB1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462CF" w:rsidRPr="00037571" w14:paraId="72E3189A" w14:textId="77777777" w:rsidTr="00037571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444B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4B8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EE0" w14:textId="11EF9290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721" w14:textId="051AF5FA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FB4A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462CF" w:rsidRPr="00037571" w14:paraId="2ED1FA02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A2B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E98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7ED3" w14:textId="6FB05CAE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2191" w14:textId="253F35C3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AB5E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462CF" w:rsidRPr="00037571" w14:paraId="3145C394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5CB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922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5C4" w14:textId="4DBE8041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6EE" w14:textId="29CC23AE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380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44941F7E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C294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A259" w14:textId="77777777" w:rsidR="009462CF" w:rsidRPr="00037571" w:rsidRDefault="009462CF" w:rsidP="00946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1077" w14:textId="7A73BE75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0CC" w14:textId="621528B0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43C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448B8105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B9F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3E0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D384" w14:textId="57816854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02C" w14:textId="47071E4E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3D24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74D6CE1F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68B8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4C3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F1F" w14:textId="149C3BB8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72B" w14:textId="005B72D5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6B9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13A713F8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013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9A3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58DF" w14:textId="7FED2A39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47DE" w14:textId="72FB8929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D5DB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1963EDCF" w14:textId="77777777" w:rsidTr="00037571">
        <w:trPr>
          <w:trHeight w:val="12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9AB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DEA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E13" w14:textId="02CE02F2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03D" w14:textId="791B6A5D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CFD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59DF0452" w14:textId="77777777" w:rsidTr="00037571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502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4A28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E80" w14:textId="0A16B784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04C" w14:textId="5BA2BB13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C24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4C6EFB9A" w14:textId="77777777" w:rsidTr="00037571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66C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3801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859" w14:textId="0050C054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BD15" w14:textId="621F508B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4CD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0D2AEE05" w14:textId="77777777" w:rsidTr="00037571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2673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C03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796" w14:textId="5261DB4E" w:rsidR="009462CF" w:rsidRPr="00037571" w:rsidRDefault="009462CF" w:rsidP="009462CF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3DAE" w14:textId="532DE89B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465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5CB09154" w14:textId="77777777" w:rsidTr="00037571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FBCD" w14:textId="77777777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B3FA" w14:textId="77777777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2C1" w14:textId="6DFCF6FA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426" w14:textId="1EA10229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E13" w14:textId="77777777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9462CF" w:rsidRPr="00037571" w14:paraId="13A38AD0" w14:textId="77777777" w:rsidTr="00037571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936E" w14:textId="16D42FEE" w:rsidR="009462CF" w:rsidRPr="00037571" w:rsidRDefault="009462CF" w:rsidP="00946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AA4A" w14:textId="653F7BE0" w:rsidR="009462CF" w:rsidRPr="00037571" w:rsidRDefault="009462CF" w:rsidP="009462C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D617" w14:textId="1C9BCB49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F7EA" w14:textId="21DC8F73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9165" w14:textId="023DCD5A" w:rsidR="009462CF" w:rsidRPr="00037571" w:rsidRDefault="009462CF" w:rsidP="009462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  <w:tr w:rsidR="00C0609E" w:rsidRPr="00037571" w14:paraId="508EF1C2" w14:textId="77777777" w:rsidTr="00805A0E">
        <w:trPr>
          <w:trHeight w:val="2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6B8" w14:textId="635E65D2" w:rsidR="00C0609E" w:rsidRPr="00037571" w:rsidRDefault="00C0609E" w:rsidP="00C06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D91" w14:textId="3C748E61" w:rsidR="00C0609E" w:rsidRPr="00037571" w:rsidRDefault="00C0609E" w:rsidP="00C06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7CBC" w14:textId="4752AFA6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6,476,259.33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EF99" w14:textId="2DB513C9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6,476,259.33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7601" w14:textId="1E4A1932" w:rsidR="00C0609E" w:rsidRPr="00037571" w:rsidRDefault="00C0609E" w:rsidP="00C06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375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$0.00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9430D25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1C5C4FE3" w14:textId="5C74CC8F" w:rsidR="001750B4" w:rsidRDefault="001750B4" w:rsidP="0012031E">
      <w:pPr>
        <w:spacing w:after="0" w:line="240" w:lineRule="auto"/>
        <w:rPr>
          <w:i/>
        </w:rPr>
      </w:pPr>
    </w:p>
    <w:p w14:paraId="07D87ADF" w14:textId="6B6EE3C1" w:rsidR="001750B4" w:rsidRDefault="002D3ADB" w:rsidP="0012031E">
      <w:pPr>
        <w:spacing w:after="0" w:line="240" w:lineRule="auto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296C74" wp14:editId="474B4EE3">
            <wp:simplePos x="0" y="0"/>
            <wp:positionH relativeFrom="column">
              <wp:posOffset>-76200</wp:posOffset>
            </wp:positionH>
            <wp:positionV relativeFrom="paragraph">
              <wp:posOffset>1732280</wp:posOffset>
            </wp:positionV>
            <wp:extent cx="5971540" cy="848360"/>
            <wp:effectExtent l="0" t="0" r="0" b="8890"/>
            <wp:wrapNone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A80C0859-6937-47C0-B044-F4EDC8D61F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A80C0859-6937-47C0-B044-F4EDC8D61FD9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50B4" w:rsidRPr="001750B4">
        <w:rPr>
          <w:i/>
        </w:rPr>
        <w:t>Bajo protesta de decir verdad declaramos que los Estados Financieros y sus notas, son razonablemente correctos y son responsabilidad del emisor.</w:t>
      </w:r>
    </w:p>
    <w:sectPr w:rsidR="001750B4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6655" w14:textId="77777777" w:rsidR="003774BB" w:rsidRDefault="003774BB" w:rsidP="0012031E">
      <w:pPr>
        <w:spacing w:after="0" w:line="240" w:lineRule="auto"/>
      </w:pPr>
      <w:r>
        <w:separator/>
      </w:r>
    </w:p>
  </w:endnote>
  <w:endnote w:type="continuationSeparator" w:id="0">
    <w:p w14:paraId="0895D060" w14:textId="77777777" w:rsidR="003774BB" w:rsidRDefault="003774B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DDA94A5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FD" w:rsidRPr="006A1CFD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A90D" w14:textId="77777777" w:rsidR="003774BB" w:rsidRDefault="003774BB" w:rsidP="0012031E">
      <w:pPr>
        <w:spacing w:after="0" w:line="240" w:lineRule="auto"/>
      </w:pPr>
      <w:r>
        <w:separator/>
      </w:r>
    </w:p>
  </w:footnote>
  <w:footnote w:type="continuationSeparator" w:id="0">
    <w:p w14:paraId="7E653011" w14:textId="77777777" w:rsidR="003774BB" w:rsidRDefault="003774B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276B" w14:textId="068954B7" w:rsidR="0012031E" w:rsidRDefault="006B5DE5" w:rsidP="008B119A">
    <w:pPr>
      <w:pStyle w:val="Encabezado"/>
      <w:jc w:val="center"/>
    </w:pPr>
    <w:r>
      <w:t>Sistema de Desarrollo Integral de la Familia del Municipio de Santiago</w:t>
    </w:r>
    <w:r w:rsidR="00A257C8" w:rsidRPr="00A257C8">
      <w:t xml:space="preserve"> Maravatío, Guanajuato</w:t>
    </w:r>
    <w:r w:rsidR="00A257C8">
      <w:t xml:space="preserve"> </w:t>
    </w:r>
    <w:r w:rsidR="009462CF">
      <w:t xml:space="preserve">   Correspondientes al </w:t>
    </w:r>
    <w:r w:rsidR="00C0609E">
      <w:t>31 de diciembre</w:t>
    </w:r>
    <w:r w:rsidR="009462CF">
      <w:t xml:space="preserve">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37571"/>
    <w:rsid w:val="000719D9"/>
    <w:rsid w:val="00082737"/>
    <w:rsid w:val="0012031E"/>
    <w:rsid w:val="00154E82"/>
    <w:rsid w:val="00165F8E"/>
    <w:rsid w:val="001750B4"/>
    <w:rsid w:val="001801D0"/>
    <w:rsid w:val="00180EFE"/>
    <w:rsid w:val="00192F78"/>
    <w:rsid w:val="001A5B0C"/>
    <w:rsid w:val="001C43F6"/>
    <w:rsid w:val="00206AE9"/>
    <w:rsid w:val="0022015D"/>
    <w:rsid w:val="00250DD5"/>
    <w:rsid w:val="00271610"/>
    <w:rsid w:val="00287AA4"/>
    <w:rsid w:val="002A5DE4"/>
    <w:rsid w:val="002D3ADB"/>
    <w:rsid w:val="002E61AA"/>
    <w:rsid w:val="002F4CA7"/>
    <w:rsid w:val="003363CD"/>
    <w:rsid w:val="00336A50"/>
    <w:rsid w:val="003738F2"/>
    <w:rsid w:val="003774BB"/>
    <w:rsid w:val="003B04B5"/>
    <w:rsid w:val="003E32AA"/>
    <w:rsid w:val="004056DA"/>
    <w:rsid w:val="00405DFD"/>
    <w:rsid w:val="00451111"/>
    <w:rsid w:val="00480138"/>
    <w:rsid w:val="004839F1"/>
    <w:rsid w:val="00497A05"/>
    <w:rsid w:val="004C23EA"/>
    <w:rsid w:val="004C4CCB"/>
    <w:rsid w:val="004F0322"/>
    <w:rsid w:val="00532DCD"/>
    <w:rsid w:val="00585E0F"/>
    <w:rsid w:val="005A7F26"/>
    <w:rsid w:val="005D2C30"/>
    <w:rsid w:val="005E7FA6"/>
    <w:rsid w:val="005F2530"/>
    <w:rsid w:val="005F7997"/>
    <w:rsid w:val="00607B3B"/>
    <w:rsid w:val="00636518"/>
    <w:rsid w:val="00672B3F"/>
    <w:rsid w:val="006A1CFD"/>
    <w:rsid w:val="006A3AD9"/>
    <w:rsid w:val="006A430D"/>
    <w:rsid w:val="006B5DE5"/>
    <w:rsid w:val="006E409C"/>
    <w:rsid w:val="0073762F"/>
    <w:rsid w:val="0074276A"/>
    <w:rsid w:val="007468E6"/>
    <w:rsid w:val="007546DF"/>
    <w:rsid w:val="007C6DDB"/>
    <w:rsid w:val="007D76D7"/>
    <w:rsid w:val="007F0CB6"/>
    <w:rsid w:val="00823175"/>
    <w:rsid w:val="00832928"/>
    <w:rsid w:val="00886186"/>
    <w:rsid w:val="008A0382"/>
    <w:rsid w:val="008B119A"/>
    <w:rsid w:val="008C4366"/>
    <w:rsid w:val="008D70B9"/>
    <w:rsid w:val="008E5A74"/>
    <w:rsid w:val="00900B5B"/>
    <w:rsid w:val="00934981"/>
    <w:rsid w:val="00940570"/>
    <w:rsid w:val="009462CF"/>
    <w:rsid w:val="00950B78"/>
    <w:rsid w:val="009513F7"/>
    <w:rsid w:val="0098068C"/>
    <w:rsid w:val="009967AB"/>
    <w:rsid w:val="00996D80"/>
    <w:rsid w:val="00A0103C"/>
    <w:rsid w:val="00A257C8"/>
    <w:rsid w:val="00A751F9"/>
    <w:rsid w:val="00A827B2"/>
    <w:rsid w:val="00AA2D23"/>
    <w:rsid w:val="00AD45EB"/>
    <w:rsid w:val="00AE2E14"/>
    <w:rsid w:val="00AF5CAD"/>
    <w:rsid w:val="00B0609A"/>
    <w:rsid w:val="00B061D8"/>
    <w:rsid w:val="00B45D6B"/>
    <w:rsid w:val="00B611AA"/>
    <w:rsid w:val="00B670BF"/>
    <w:rsid w:val="00B754EC"/>
    <w:rsid w:val="00B75724"/>
    <w:rsid w:val="00B7659E"/>
    <w:rsid w:val="00BA6519"/>
    <w:rsid w:val="00BC3520"/>
    <w:rsid w:val="00BD03C3"/>
    <w:rsid w:val="00BD33D9"/>
    <w:rsid w:val="00BE3F45"/>
    <w:rsid w:val="00C0609E"/>
    <w:rsid w:val="00C10F16"/>
    <w:rsid w:val="00C57385"/>
    <w:rsid w:val="00C65556"/>
    <w:rsid w:val="00C75723"/>
    <w:rsid w:val="00C85969"/>
    <w:rsid w:val="00C94156"/>
    <w:rsid w:val="00C94874"/>
    <w:rsid w:val="00CD6BBB"/>
    <w:rsid w:val="00CE6653"/>
    <w:rsid w:val="00D217E5"/>
    <w:rsid w:val="00D34BC4"/>
    <w:rsid w:val="00D37F19"/>
    <w:rsid w:val="00D70D86"/>
    <w:rsid w:val="00E0751D"/>
    <w:rsid w:val="00E25B1C"/>
    <w:rsid w:val="00E6295B"/>
    <w:rsid w:val="00E97773"/>
    <w:rsid w:val="00EA496C"/>
    <w:rsid w:val="00F45402"/>
    <w:rsid w:val="00F55449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docId w15:val="{730C0DDA-B72C-49F6-8960-DEE64038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Dif</cp:lastModifiedBy>
  <cp:revision>21</cp:revision>
  <cp:lastPrinted>2023-10-27T19:22:00Z</cp:lastPrinted>
  <dcterms:created xsi:type="dcterms:W3CDTF">2022-01-25T04:53:00Z</dcterms:created>
  <dcterms:modified xsi:type="dcterms:W3CDTF">2024-01-26T15:42:00Z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